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42" w:rsidRPr="00084B42" w:rsidRDefault="00084B42" w:rsidP="00084B42">
      <w:pPr>
        <w:pStyle w:val="NormalWeb"/>
        <w:shd w:val="clear" w:color="auto" w:fill="FFFFFF"/>
        <w:spacing w:before="120" w:beforeAutospacing="0" w:after="120" w:afterAutospacing="0"/>
        <w:jc w:val="center"/>
        <w:rPr>
          <w:rFonts w:asciiTheme="majorHAnsi" w:hAnsiTheme="majorHAnsi" w:cstheme="majorHAnsi"/>
          <w:b/>
          <w:bCs/>
          <w:color w:val="000000" w:themeColor="text1"/>
        </w:rPr>
      </w:pPr>
      <w:bookmarkStart w:id="0" w:name="loai_3"/>
      <w:r w:rsidRPr="00084B42">
        <w:rPr>
          <w:rFonts w:asciiTheme="majorHAnsi" w:hAnsiTheme="majorHAnsi" w:cstheme="majorHAnsi"/>
          <w:b/>
          <w:bCs/>
          <w:color w:val="000000" w:themeColor="text1"/>
        </w:rPr>
        <w:t>ÁN LỆ SỐ 08/2016/AL</w:t>
      </w:r>
      <w:bookmarkEnd w:id="0"/>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i/>
          <w:iCs/>
          <w:color w:val="000000" w:themeColor="text1"/>
        </w:rPr>
        <w:t>Được Hội đồng Thẩm phán Tòa án nhân dân tối cao thông qua ngày 17 tháng 10 năm 2016 và được công bố theo Quyết định số 698/QĐ-CA ngày 17 tháng 10 năm 2016 của Chánh án Tòa án nhân dân tối cao.</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b/>
          <w:bCs/>
          <w:color w:val="000000" w:themeColor="text1"/>
        </w:rPr>
        <w:t>Nguồn án lệ:</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Quyết định giám đốc thẩm số 12/2013/KDTM-GĐT ngày 16-5-2013 của Hội đồng Thẩm phán Tòa án nhân dân tối cao về vụ án kinh doanh, thương mại “Tranh chấp về hợp đồng tín dụng” tại thành phố Hà Nội giữa nguyên đơn là Ngân hàng thương mại cổ phần ngoại thương Việt Nam với bị đơn là Công ty cổ phần dược phẩm Kaoli; người có quyền lợi và nghĩa vụ liên quan gồm các ông, bà Nguyễn Thị Phượng, Nguyễn Đăng Duyên, Đỗ Thị Loan.</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b/>
          <w:bCs/>
          <w:color w:val="000000" w:themeColor="text1"/>
        </w:rPr>
        <w:t>Vị trí nội dung án lệ:</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Đoạn 16 phần “Xét thấy” của quyết định giám đốc thẩm nêu trên.</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b/>
          <w:bCs/>
          <w:color w:val="000000" w:themeColor="text1"/>
        </w:rPr>
        <w:t>Khái quát nội dung của án lệ:</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b/>
          <w:bCs/>
          <w:i/>
          <w:iCs/>
          <w:color w:val="000000" w:themeColor="text1"/>
        </w:rPr>
        <w:t>- Tình huống án lệ:</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Trong hợp đồng tín dụng, các bên có thỏa thuận về lãi suất cho vay, gồm: lãi suất cho vay trong hạn, lãi suất nợ quá hạn, việc điều chỉnh lãi suất cho vay theo từng thời kỳ của Ngân hàng, tổ chức tín dụng cho vay mà đến thời điểm xét xử sơ thẩm khách hàng vay chưa thanh toán, hoặc thanh toán không đủ số tiền nợ gốc, lãi theo hợp đồng tín dụng.</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b/>
          <w:bCs/>
          <w:i/>
          <w:iCs/>
          <w:color w:val="000000" w:themeColor="text1"/>
        </w:rPr>
        <w:t>- Giải pháp pháp lý:</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Trường hợp này, khách hàng vay phải tiếp tục thanh toán cho Ngân hàng, tổ chức tín dụng khoản tiền nợ gốc chưa thanh toán, tiền lãi trên nợ gốc trong hạn (nếu có), lãi nợ quá hạn của số tiền gốc chưa thanh toán theo mức lãi suất mà các bên thỏa thuận trong hợp đồng cho đến khi thanh toán xong khoản nợ gốc này. Trường hợp các bên có thỏa thuận về việc điều chỉnh mức lãi suất cho vay theo từng thời kỳ của ngân hàng, tổ chức tín dụng cho vay thì lãi suất mà khách hàng vay phải tiếp tục thanh toán theo quyết định của Tòa án cũng sẽ được điều chỉnh cho phù hợp với sự điều chỉnh lãi suất của Ngân hàng, tổ chức tín dụng cho vay.</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b/>
          <w:bCs/>
          <w:color w:val="000000" w:themeColor="text1"/>
        </w:rPr>
        <w:t>Quy định của pháp luật liên quan đến án lệ:</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Các </w:t>
      </w:r>
      <w:bookmarkStart w:id="1" w:name="dc_6"/>
      <w:r w:rsidRPr="00084B42">
        <w:rPr>
          <w:rFonts w:asciiTheme="majorHAnsi" w:hAnsiTheme="majorHAnsi" w:cstheme="majorHAnsi"/>
          <w:color w:val="000000" w:themeColor="text1"/>
        </w:rPr>
        <w:t>điều 471, 474 và Điều 476 Bộ luật dân sự 2005</w:t>
      </w:r>
      <w:bookmarkEnd w:id="1"/>
      <w:r w:rsidRPr="00084B42">
        <w:rPr>
          <w:rFonts w:asciiTheme="majorHAnsi" w:hAnsiTheme="majorHAnsi" w:cstheme="majorHAnsi"/>
          <w:color w:val="000000" w:themeColor="text1"/>
        </w:rPr>
        <w:t>;</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w:t>
      </w:r>
      <w:bookmarkStart w:id="2" w:name="dc_7"/>
      <w:r w:rsidRPr="00084B42">
        <w:rPr>
          <w:rFonts w:asciiTheme="majorHAnsi" w:hAnsiTheme="majorHAnsi" w:cstheme="majorHAnsi"/>
          <w:color w:val="000000" w:themeColor="text1"/>
        </w:rPr>
        <w:t>Khoản 2 Điều 91 Luật Tổ chức tín dụng năm 2010</w:t>
      </w:r>
      <w:bookmarkEnd w:id="2"/>
      <w:r w:rsidRPr="00084B42">
        <w:rPr>
          <w:rFonts w:asciiTheme="majorHAnsi" w:hAnsiTheme="majorHAnsi" w:cstheme="majorHAnsi"/>
          <w:color w:val="000000" w:themeColor="text1"/>
        </w:rPr>
        <w:t>;</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w:t>
      </w:r>
      <w:bookmarkStart w:id="3" w:name="dc_8"/>
      <w:r w:rsidRPr="00084B42">
        <w:rPr>
          <w:rFonts w:asciiTheme="majorHAnsi" w:hAnsiTheme="majorHAnsi" w:cstheme="majorHAnsi"/>
          <w:color w:val="000000" w:themeColor="text1"/>
        </w:rPr>
        <w:t>Khoản 1 Điều 1 Thông tư số 12/2010/TT-NHNN</w:t>
      </w:r>
      <w:bookmarkEnd w:id="3"/>
      <w:r w:rsidRPr="00084B42">
        <w:rPr>
          <w:rFonts w:asciiTheme="majorHAnsi" w:hAnsiTheme="majorHAnsi" w:cstheme="majorHAnsi"/>
          <w:color w:val="000000" w:themeColor="text1"/>
        </w:rPr>
        <w:t> ngày 14-4-2010 của Ngân hàng Nhà nước hướng dẫn tổ chức tín dụng cho vay bằng đồng Việt Nam đối với khách hàng theo lãi suất thỏa thuận;</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w:t>
      </w:r>
      <w:bookmarkStart w:id="4" w:name="dc_9"/>
      <w:r w:rsidRPr="00084B42">
        <w:rPr>
          <w:rFonts w:asciiTheme="majorHAnsi" w:hAnsiTheme="majorHAnsi" w:cstheme="majorHAnsi"/>
          <w:color w:val="000000" w:themeColor="text1"/>
        </w:rPr>
        <w:t>Khoản 2 Điều 11 Quy chế cho vay của Tổ chức tín dụng đối với khách hàng được ban hành theo Quyết định số 1627/2001/QĐ-NHNN</w:t>
      </w:r>
      <w:bookmarkEnd w:id="4"/>
      <w:r w:rsidRPr="00084B42">
        <w:rPr>
          <w:rFonts w:asciiTheme="majorHAnsi" w:hAnsiTheme="majorHAnsi" w:cstheme="majorHAnsi"/>
          <w:color w:val="000000" w:themeColor="text1"/>
        </w:rPr>
        <w:t> ngày 31-12-2001 của Thống đốc Ngân hàng Nhà nước được sửa đổi, bổ sung bằng Quyết định số </w:t>
      </w:r>
      <w:hyperlink r:id="rId4" w:tgtFrame="_blank" w:tooltip="Quyết định 127/2005/QĐ-NHNN" w:history="1">
        <w:r w:rsidRPr="00084B42">
          <w:rPr>
            <w:rStyle w:val="Hyperlink"/>
            <w:rFonts w:asciiTheme="majorHAnsi" w:hAnsiTheme="majorHAnsi" w:cstheme="majorHAnsi"/>
            <w:color w:val="000000" w:themeColor="text1"/>
          </w:rPr>
          <w:t>127/2005/QĐ-NHNN</w:t>
        </w:r>
      </w:hyperlink>
      <w:r w:rsidRPr="00084B42">
        <w:rPr>
          <w:rFonts w:asciiTheme="majorHAnsi" w:hAnsiTheme="majorHAnsi" w:cstheme="majorHAnsi"/>
          <w:color w:val="000000" w:themeColor="text1"/>
        </w:rPr>
        <w:t> ngày 03-2-2005.</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b/>
          <w:bCs/>
          <w:color w:val="000000" w:themeColor="text1"/>
        </w:rPr>
        <w:t>Từ khóa của án lệ:</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lastRenderedPageBreak/>
        <w:t> “Lãi suất”; “Nợ gốc chưa thanh toán”; “Hợp đồng tín dụn</w:t>
      </w:r>
      <w:bookmarkStart w:id="5" w:name="_GoBack"/>
      <w:bookmarkEnd w:id="5"/>
      <w:r w:rsidRPr="00084B42">
        <w:rPr>
          <w:rFonts w:asciiTheme="majorHAnsi" w:hAnsiTheme="majorHAnsi" w:cstheme="majorHAnsi"/>
          <w:color w:val="000000" w:themeColor="text1"/>
        </w:rPr>
        <w:t>g”; “Điều chỉnh lãi suất”; “Lãi suất nợ quá hạn”.</w:t>
      </w:r>
    </w:p>
    <w:p w:rsidR="00084B42" w:rsidRPr="00084B42" w:rsidRDefault="00084B42" w:rsidP="00084B42">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084B42">
        <w:rPr>
          <w:rFonts w:asciiTheme="majorHAnsi" w:hAnsiTheme="majorHAnsi" w:cstheme="majorHAnsi"/>
          <w:b/>
          <w:bCs/>
          <w:color w:val="000000" w:themeColor="text1"/>
        </w:rPr>
        <w:t>NỘI DUNG VỤ ÁN</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Theo đơn khởi kiện đề ngày 20-7-2010 và các tài liệu, chứng cứ có trong hồ sơ vụ án thì thấy:</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Ngân hàng TMCP ngoại thương Việt Nam - Chi nhánh Thăng Long (sau đây viết tắt là Vietcombank) và Công ty Cổ phần Dược phẩm Kaoli (sau đây viết tắt là Công ty Kaoli) có ký kết 04 hợp đồng tín dụng, gồm: Hợp đồng tín dụng số 03/07/NHNT-TL ngày 25-12-2007; số 04/07/NHNT-TL ngày 28-12-2007; số 144/08/NHNT-TL ngày 28-3-2008 và số 234/08/NHNT-TL ngày 27-5-2008. Các hợp đồng tín dụng nêu trên được bảo đảm bằng tài sản là quyền sở hữu nhà ở và quyền sử dụng đất ở tại:</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Số 122 Đội Cấn, phường Đội Cấn, quận Ba Đình, thành phố Hà Nội (thửa đất số 46B+39C+37C, tờ bản đồ số 19) thuộc quyền sở hữu và sử dụng của bà Nguyễn Thị Phượng (theo Hợp đồng thế chấp số 1678.2008/HĐTC ngày 25-6-2008; bảo đảm cho khoản vay và bảo lãnh cao nhất là 4.605.000.000 đồng; các điều kiện chi tiết về việc vay và cho vay khoản tiền nêu trên sẽ được ghi cụ thể trong các giấy tờ nghiệp vụ ngân hàng mà Vietcombank và Bên được bảo lãnh (Công ty Kaoli) sẽ ký tại trụ sở của Vietcombank (khoản 1.3 Điều 1); giá trị tài sản thế chấp là 4.605.000.000 đồng theo Biên bản định giá tài sản số 105/08/NHNT.TL; thời hạn thế chấp là 05 năm tính từ ngày Bên được bảo lãnh nhận tiền vay; hợp đồng có hiệu lực kể từ thời điểm đăng ký tại Văn phòng đăng ký quyền sử dụng đất (khoản 10.1 Điều 10). Hợp đồng này được công chứng viên Phòng Công chứng số 3 thành phố Hà Nội công chứng ngày 25-6-2008 và Phòng Tài nguyên và môi trường quận Ba Đình chứng nhận đăng ký thế chấp bằng quyền sử dụng đất, tài sản gắn liền với đất ngày 10-7-2008). Trước đó, ngày 03-9-2007, bà Phượng và Vietcombank lập Biên bản giao nhận hồ sơ tài sản thế chấp, cầm cố, bảo lãnh với nội dung: “Hai bên tiến hành bàn giao các giấy tờ bản chính tài sản bảo đảm sau đây để đảm bảo cho các nghĩa vụ của Công ty cổ phần dược phẩm Kaoli tại Ngân hàng ngoại thương Việt Nam - Chi nhánh Thăng Long; tên tài sản: Quyền sở hữu nhà ở và quyền sử dụng đất ở tại 122 Đội Cấn, phường Đội Cấn, quận Ba Đình, Hà Nội” (BL 52).</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Tổ 13 cụm 2 phường Nhật Tân, quận Tây Hồ, thành phố Hà Nội thuộc quyền sở hữu và sử dụng của ông Nguyễn Đăng Duyên và vợ là bà Đỗ Thị Loan (theo Hợp đồng thế chấp số 1677.2008/HĐTC ngày 25-6-2008, bảo đảm cho khoản vay và bảo lãnh cao nhất là 1.250.000.000 đồng; các điều kiện chi tiết về việc vay và cho vay khoản tiền nêu trên sẽ được ghi cụ thể trong các giấy tờ nghiệp vụ ngân hàng mà Vietcombank và Bên được bảo lãnh (Công ty Kaoli) sẽ ký tại trụ sở của Vietcombank (khoản 1.3 Điều 1); giá trị tài sản thế chấp là 1.250.000.000 đồng theo Biên bản định giá tài sản số 106/08/NHNT.TL ngày 03-9-2007 (khoản 3.1 Điều 3); thời hạn thế chấp là 05 năm tính từ ngày Bên được bảo lãnh nhận tiền vay; hợp đồng có hiệu lực kể từ thời điểm đăng ký tại Văn phòng đăng ký quyền sử dụng đất (khoản 10.1 Điều 10); hợp đồng này được công chứng viên Phòng Công chứng số 3 thành phố Hà Nội công chứng ngày 25-6-2008 và Phòng Tài nguyên và môi trường quận Ba Đình chứng nhận đăng ký thế chấp bằng quyền sử dụng đất, tài sản gắn liền với đất ngày 01-7-2008). Trước đó, ngày 03-9-2007, ông Nguyễn Đăng Duyên và Vietcombank - Chi nhánh Thăng Long lập Biên bản giao nhận hồ sơ tài sản thế chấp, cầm cố, bảo lãnh với nội dung: “Hai bên tiến hành bàn giao các giấy tờ bản chính tài sản bảo đảm sau đây để đảm bảo cho các nghĩa vụ của Công ty cổ phần dược phẩm Kaoli tại Ngân hàng ngoại thương Việt Nam - Chi nhánh Thăng Long; tên tài sản: Quyền sở hữu nhà ở và quyền sử dụng đất ở tại tổ 13 cụm 2 phường Nhật Tân, quận Tây Hồ, Hà Nội” (BL 58a).</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lastRenderedPageBreak/>
        <w:t>Ngoài ra, các khoản vay của các hợp đồng tín dụng nêu trên còn được bảo đảm bằng tài sản là nhà, đất thuộc quyền sử dụng và sở hữu của ông Cao Ngọc Minh và vợ là bà Đoàn Thị Thanh Thủy; nhà, đất của ông Giang Cao Thắng và vợ là bà Dương Thị Sinh (đã được giải chấp); quyền sử dụng đất của ông Chu Quốc Khanh; nhà, đất của bà Chu Thị Hồng và ông Nguyễn Văn Minh.</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Thực hiện hợp đồng, Vietcombank - Chi nhánh Thăng Long đã giải ngân cho Công ty Kaoli vay số tiền theo các hợp đồng tín dụng nói trên. Công ty Kaoli chỉ mới trả được một phần tiền nợ gốc và nợ lãi. Vietcombank khởi kiện yêu cầu Tòa án buộc Công ty Kaoli phải thanh toán số tiền còn nợ của 04 hợp đồng tín dụng nêu trên là 8.197.957.837 đồng (trong đó: nợ gốc là 5.457.000.000 đồng, nợ lãi trong hạn là 397.149.467 đồng, nợ lãi quá hạn tính đến ngày xét xử sơ thẩm là 2.343.808.370 đồng) và xử lý tài sản thế chấp của bà Nguyễn Thị Phượng; của ông Nguyễn Đăng Duyên và bà Đỗ Thị Loan để thu hồi nợ.</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Đại diện bị đơn - ông Đỗ Văn Chính, giám đốc Công ty Kaoli trình bày: Ông thừa nhận Công ty Kaoli còn nợ Vietcombank số tiền gốc và lãi trong hạn, lãi quá hạn theo 04 Hợp đồng tín dụng như Vietcombank trình bày là đúng. Ông xác định trách nhiệm trả nợ theo 04 hợp đồng tín dụng nêu trên là của Công ty Kaoli và xin trả dần trong thời hạn 05 năm.</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Trường hợp Công ty Kaoli không trả được nợ hoặc trả nợ không đầy đủ, Vietcombank yêu cầu phát mại tài sản đảm bảo của bà Nguyễn Thị Phượng, của ông Nguyễn Đăng Duyên và bà Đỗ Thị Loan thì đề nghị Tòa án giải quyết theo quy định của pháp luật. Ông Chính xác nhận Vietcombank giải ngân trước khi ký kết Hợp đồng thế chấp số 1678.2008/HĐTC ngày 25-6-2008 và Hợp đồng thế chấp số 1677.2008/HĐTC ngày 25-6-2008. Từ ngày 25-6-2008 đến nay, Công ty Kaoli không vay thêm một khoản vay nào khác, không ký hợp đồng tín dụng nào khác với Vietcombank.</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Người có quyền lợi, nghĩa vụ liên quan trình bày:</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Ông Nguyễn Văn Nghi (đại diện theo ủy quyền của bà Nguyễn Thị Phượng) trình bày: Vietcombank khởi kiện Công ty Kaoli và đề nghị Tòa án cho phát mại tài sản của bà Phượng trong trường hợp Công ty Kaoli không thực hiện nghĩa vụ trả nợ, ông không đồng ý vì bà Phượng ký kết hợp đồng thế chấp vào ngày 25-6-2008 nên không phải chịu trách nhiệm bảo lãnh cho khoản vay của Công ty Kaoli tại Vietcombank theo 04 hợp đồng tín dụng mà Vietcombank đang khởi kiện. Đề nghị Tòa án buộc Vietcombank làm thủ tục giải chấp và trả lại Giấy chứng nhận quyền sử dụng đất và quyền sở hữu nhà ở cho bà Phượng.</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Ông Nguyễn Đăng Duyên và bà Đỗ Thị Loan cùng trình bày: Vợ chồng ông, bà có ký Hợp đồng thế chấp ngày 25-6-2008 nhưng hợp đồng này chỉ đảm bảo cho khoản vay của Công ty Kaoli tại Vietcombank và sẽ chịu mọi trách nhiệm phát sinh từ thời điểm sau ngày 25-6-2008 đến ngày 25-4-2009 còn toàn bộ những hợp đồng tín dụng đã ký trước thời điểm ngày 25-6-2008 giữa Vietcombank và Công ty Kaoli thì ông, bà không chịu trách nhiệm. Theo Vietcombank thì từ sau thời điểm ngày 25-6-2008 đến nay, Vietcombank không ký hợp đồng tín dụng nào với Công ty Kaoli. Do vậy, trách nhiệm pháp lý của ông, bà chưa phát sinh. Đề nghị Tòa án buộc Vietcombank phải giải chấp tài sản theo Hợp đồng thế chấp ngày 25-6-2008 cho ông, bà.</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Tại Bản án kinh doanh, thương mại sơ thẩm số 32/2011/KDTM-ST ngày 24-3-2011, Tòa án nhân dân thành phố Hà Nội quyết định:</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lastRenderedPageBreak/>
        <w:t>“1. Chấp nhận một phần yêu cầu khởi kiện của Ngân hàng TMCP ngoại thương Việt Nam đối với Công ty Kaoli. Buộc Công ty Kaoli có trách nhiệm phải trả cho Ngân hàng tổng số tiền nợ gốc và lãi là 8.197.957.837 đồng.</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2. Không chấp nhận yêu cầu của Ngân hàng TMCP ngoại thương Việt Nam đòi phát mãi các tài sản là giá trị quyền sở hữu nhà ở và quyền sử dụng đất ở tại thửa đất số 46B + 39C + 37C, tờ bản đồ số 19, địa chỉ số 122 Đội Cấn, phường Đội Cấn, quận Ba Đình, thành phố Hà Nội theo Giấy chứng nhận quyền sở hữu nhà ở và quyền sử dụng đất ở số 10101132587 do Uỷ ban nhân dân quận Ba Đình cấp ngày 27-4-2004 cho bà Nguyễn Thị Phượng và giá trị quyền sở hữu nhà ở và quyền sử dụng đất ở tại địa chỉ số tổ 13, cụm 2, phường Nhật Tân, quận Tây Hồ, thành phố Hà Nội theo Giấy chứng nhận quyền sở hữu nhà ở và quyền sử dụng đất ở tại thửa đất số 13+64A (1 phần), tờ bản đồ số 04 tại địa chỉ số tổ 13 cụm 2, phường Nhật Tân, quận Tây Hồ, Hà Nội theo Giấy chứng nhận quyền sở hữu nhà ở và quyền sử dụng đất ở số 10103090899 do Ủy ban nhân dân thành phố Hà Nội cấp ngày 23-3-2004 cho ông Nguyễn Đăng Duyên và vợ là bà Đỗ Thị Loan.</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Ngân hàng TMCP ngoại thương Việt Nam có trách nhiệm trả lại đầy đủ giấy tờ về quyền sở hữu nhà ở và quyền sử dụng đất ở và làm thủ tục giải tỏa tài sản thế chấp cho bà Nguyễn Thị Phượng và vợ, chồng ông Nguyễn Đăng Duyên, bà Đỗ Thị Loan”.</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Ngoài ra, Tòa án cấp sơ thẩm còn có quyết định về án phí, quyền kháng cáo của các đương sự theo quy định của pháp luật.</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Ngày 04-4-2011, Vietcombank có đơn kháng cáo.</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Tại Bản án kinh doanh, thương mại phúc thẩm số 148/2011/KDTM-PT ngày 17-8-2011, Tòa phúc thẩm Tòa án nhân dân tối cao tại Hà Nội căn cứ </w:t>
      </w:r>
      <w:bookmarkStart w:id="6" w:name="dc_10"/>
      <w:r w:rsidRPr="00084B42">
        <w:rPr>
          <w:rFonts w:asciiTheme="majorHAnsi" w:hAnsiTheme="majorHAnsi" w:cstheme="majorHAnsi"/>
          <w:color w:val="000000" w:themeColor="text1"/>
        </w:rPr>
        <w:t>khoản 2 Điều 275 và khoản 1 Điều 276 Bộ luật tố tụng dân sự</w:t>
      </w:r>
      <w:bookmarkEnd w:id="6"/>
      <w:r w:rsidRPr="00084B42">
        <w:rPr>
          <w:rFonts w:asciiTheme="majorHAnsi" w:hAnsiTheme="majorHAnsi" w:cstheme="majorHAnsi"/>
          <w:color w:val="000000" w:themeColor="text1"/>
        </w:rPr>
        <w:t> quyết định:</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“Sửa Bản án kinh doanh, thương mại sơ thẩm số 32/2011/KDTM-ST ngày 23 và 24-3-2011 của Tòa án nhân dân thành phố Hà Nội về phần nghĩa vụ bảo lãnh đối với bà Nguyễn Thị Phượng và vợ, chồng ông Nguyễn Đăng Duyên, bà Đỗ Thị Loan, cụ thể như sau:</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Xử: Các Biên bản bàn giao hồ sơ tài sản thế chấp, cầm cố, bảo lãnh ngày 03-9-2007 giữa Ngân hàng TMCP ngoại thương Việt Nam - Chi nhánh Thăng Long với bà Nguyễn Thị Phượng và vợ chồng ông Nguyễn Đăng Duyên, bà Đỗ Thị Loan là hợp đồng bảo lãnh (các bút lục số 52, 58a).</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Buộc Công ty cổ phần dược phẩm Kaoli phải có trách nhiệm thanh toán trả cho Ngân hàng TMCP ngoại thương Việt Nam tổng số tiền nợ gốc và nợ lãi là 8.197.957.837 đồng...</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Trong trường hợp Công ty cổ phần dược phẩm Kaoli không thực hiện nghĩa vụ hoặc thực hiện nghĩa vụ trả nợ không đầy đủ cho Ngân hàng TMCP ngoại thương Việt Nam thì Ngân hàng TMCP ngoại thương Việt Nam có quyền yêu cầu Cục thi hành án dân sự thành phố Hà Nội xử lý tài sản bảo lãnh theo quy định của Luật thi hành án dân sự để thu hồi nợ theo trách nhiệm bảo lãnh của người bảo lãnh.</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...Kể từ ngày bản án có hiệu lực pháp luật và người được thi hành án có đơn yêu cầu thi hành án, người phải thi hành án còn phải trả lãi đối với số tiền chậm thi hành án theo lãi suất cơ bản do Ngân hàng Nhà nước công bố tương ứng với thời gian chậm thi hành án”.</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Ngoài ra, Tòa án cấp phúc thẩm còn quyết định về án phí, về việc thi hành án.</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lastRenderedPageBreak/>
        <w:t>Sau khi xét xử phúc thẩm, bà Nguyễn Thị Phượng; ông Nguyễn Đăng Duyên và bà Đỗ Thị Loan có nhiều đơn đề nghị xét lại bản án phúc thẩm nêu trên theo thủ tục giám đốc thẩm.</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Tại Quyết định kháng nghị số 34/2012/KDTM-KN ngày 15-10-2012, Chánh án Tòa án nhân dân tối cao đề nghị Hội đồng Thẩm phán Tòa án nhân dân tối cao xét xử theo thủ tục giám đốc thẩm theo hướng hủy Bản án kinh doanh, thương mại phúc thẩm số 148/2011/KDTM-PT ngày 17-8-2011 của Tòa phúc thẩm Tòa án nhân dân tối cao tại Hà Nội; giao hồ sơ vụ án cho Tòa phúc thẩm Tòa án nhân dân tối cao tại Hà Nội xét xử phúc thẩm lại theo đúng quy định của pháp luật.</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Tại phiên tòa giám đốc thẩm, đại diện Viện kiểm sát nhân dân tối cao nhất trí với kháng nghị của Chánh án Tòa án nhân dân tối cao.</w:t>
      </w:r>
    </w:p>
    <w:p w:rsidR="00084B42" w:rsidRPr="00084B42" w:rsidRDefault="00084B42" w:rsidP="00084B42">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084B42">
        <w:rPr>
          <w:rFonts w:asciiTheme="majorHAnsi" w:hAnsiTheme="majorHAnsi" w:cstheme="majorHAnsi"/>
          <w:b/>
          <w:bCs/>
          <w:color w:val="000000" w:themeColor="text1"/>
        </w:rPr>
        <w:t>HỘI ĐỒNG THẨM PHÁN TÒA ÁN NHÂN DÂN TỐI CAO NHẬN ĐỊNH:</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Xét các Hợp đồng thế chấp quyền sử dụng đất và tài sản gắn liền với đất để bảo lãnh cho người thứ ba vay vốn ngân hàng (Số công chứng: 1677.2008/HĐTC và 1678.2008/HĐTC cùng ngày 25-6-2008) thấy:</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Cả hai hợp đồng thế chấp quyền sử dụng đất và tài sản gắn liền với đất để bảo lãnh cho người thứ ba vay vốn ngân hàng đều không nêu rõ bảo đảm cho khoản vay theo hợp đồng tín dụng nào và đều được ký kết sau khi 04 Hợp đồng tín dụng (số 03/07/NHNT-TL ngày 25-12-2007; số 04/07/NHNT-TL ngày 28-12-2007; số 144/08/NHNT-TL ngày 28-3-2008 và số 234/08/NHNT-TL ngày 27-5-2008) đã được Vietcombank - Chi nhánh Thăng Long giải ngân. Theo quy định tại khoản 1.3 Điều 1 của hai Hợp đồng thế chấp nêu trên thì: “Các điều kiện chi tiết về việc vay và cho vay khoản tiền nêu trên (Nghĩa vụ được bảo đảm là khoản vay và bảo lãnh cao nhất là 4.605.000.000 đồng...; - khoản 1.2 Điều 1 Hợp đồng thế chấp) sẽ được ghi cụ thể trong giấy tờ nghiệp vụ Ngân hàng mà bên B (Vietcombank - Chi nhánh Thăng Long) và bên được bảo lãnh sẽ ký tại trụ sở của bên B (Vietcombank - Chi nhánh Thăng Long)” thì có thể hiểu bà Phượng, vợ chồng ông Duyên và bà Loan chỉ bảo lãnh cho Công ty Kaoli vay tiền theo các hợp đồng tín dụng sẽ được ký tại trụ sở của Vietcombank sau ngày ký hợp đồng thế chấp (ngày 25-6-2008) chứ không bảo lãnh cho các khoản vay của 04 Hợp đồng tín dụng đã ký trước đó.</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Vietcombank căn cứ vào khoản 6.2 Điều 6 của 04 Hợp đồng tín dụng nêu trên về biện pháp bảo đảm tiền vay có ghi (viết tay) nội dung: “Các thỏa thuận chi tiết về tài sản, quyền và nghĩa vụ của các bên được xác định cụ thể trong...Hợp đồng thế chấp số 1677.2008/HĐTC ngày 25-6-2008 và Hợp đồng thế chấp số 1678.2008/HĐTC ngày 25-6-2008” để yêu cầu Tòa án buộc bà Phượng, vợ chồng ông Duyên và bà Loan phải có trách nhiệm bảo lãnh đối với các khoản vay của Công ty Kaoli theo 04 Hợp đồng tín dụng nêu trên. Nhưng nội dung này, theo đại diện Vietcombank trình bày tại phiên tòa sơ thẩm là “do kế toán của Ngân hàng viết”. Tại phiên tòa sơ thẩm, ông Đỗ Văn Chính - Giám đốc Công ty Kaoli trình bày: “Công ty Kaoli không biết việc viết thêm này” và “Không đồng ý với yêu cầu phát mại của Ngân hàng. Các tài sản của bà Phượng và vợ chồng ông Duyên, bà Loan là do Ngân hàng ghi thêm trong các hợp đồng tín dụng”.</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xml:space="preserve">Mặt khác, tại phiên tòa phúc thẩm đại diện theo ủy quyền của bà Nguyễn Thị Phượng cho biết bà Nguyễn Thị Phượng không nhận được hợp đồng tín dụng nào từ Vietcombank; còn ông Duyên, bà Loan thì có nhận được hợp đồng tín dụng từ Vietcombank. Như vậy, ông Chính, bà Phượng và vợ chồng ông Duyên, bà Loan không biết nội dung chữ viết tay do kế toán Ngân hàng ghi trong các hợp đồng tín dụng, không ký vào hợp đồng tín dụng cho nên chưa có căn cứ để xác định các </w:t>
      </w:r>
      <w:r w:rsidRPr="00084B42">
        <w:rPr>
          <w:rFonts w:asciiTheme="majorHAnsi" w:hAnsiTheme="majorHAnsi" w:cstheme="majorHAnsi"/>
          <w:color w:val="000000" w:themeColor="text1"/>
        </w:rPr>
        <w:lastRenderedPageBreak/>
        <w:t>hợp đồng tín dụng nêu trên được bảo đảm bằng các Hợp đồng thế chấp số 1677.2008/HĐTC và 1678.2008/HĐTC cùng ngày 25-6-2008.</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Bên cạnh hai hợp đồng thế chấp nêu trên thì trong hồ sơ vụ án có 02 bộ tài liệu liên quan đến việc thế chấp tài sản: 01 bộ của bà Phượng; 01 bộ của vợ chồng ông Duyên, bà Loan; trong mỗi bộ đều có: Biên bản định giá tài sản và Biên bản bàn giao tài sản cùng đề ngày 03-9-2007; Đơn yêu cầu đăng ký thế chấp (ngày 29-01-2008 của bà Phượng; ngày 25-6-2008 của ông Duyên, bà Loan). Tuy nhiên, trong các Biên bản và Đơn yêu cầu đăng ký thế chấp này cũng không nói rõ bảo đảm cho khoản vay của hợp đồng tín dụng nào.</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Tòa án cấp phúc thẩm nhận định (tóm tắt): “Các Biên bản giao nhận hồ sơ tài sản thế chấp, cầm cố, bảo lãnh giữa Ngân hàng TMCP ngoại thương Việt Nam - Chi nhánh Thăng Long với bà Phượng, vợ chồng ông Duyên, bà Loan lập ngày 03-9-2007 đều có nội dung thế chấp, cầm cố, bảo lãnh cho các nghĩa vụ của Công ty cổ phần dược phẩm Kaoli tại Ngân hàng...nên xác định đây là một hợp đồng…”. Và Tòa án cấp phúc thẩm tuyên xử: “Các Biên bản bàn giao hồ sơ tài sản thế chấp, cầm cố, bảo lãnh ngày 03-9-2007 giữa Ngân hàng TMCP ngoại thương Việt Nam - Chi nhánh Thăng Long với bà Nguyễn Thị Phượng và vợ chồng ông Nguyễn Đăng Duyên, bà Đỗ Thị Loan là hợp đồng bảo lãnh (các bút lục số 52, 58a)” và “Trong trường hợp Công ty cổ phần dược phẩm Kaoli không thực hiện nghĩa vụ hoặc thực hiện nghĩa vụ trả nợ không đầy đủ cho Ngân hàng TMCP ngoại thương Việt Nam, thì Ngân hàng TMCP ngoại thương Việt Nam có quyền yêu cầu Cục thi hành án dân sự thành phố Hà Nội xử lý tài sản bảo lãnh theo quy định của Luật thi hành án dân sự để thu hồi nợ theo trách nhiệm bảo lãnh của người bảo lãnh”.</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Nhận định và quyết định trên đây của Tòa án cấp phúc thẩm là không có căn cứ và không đúng pháp luật. Bởi lẽ:</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Biên bản giao nhận hồ sơ tài sản thế chấp, cầm cố, bảo lãnh ngày 03-9-2007 giữa bà Nguyễn Thị Phượng (cũng như giữa ông Duyên, bà Loan) với Vietcombank - Chi nhánh Thăng Long không phải là hợp đồng bảo lãnh như Tòa án cấp phúc thẩm xác định.</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Tại phiên tòa phúc thẩm ngày 17-8-2011 đại diện Vietcombank cũng chỉ xác định: “Biên bản bàn giao tài sản, biên bản định giá tài sản là một bộ phận không thể tách rời hợp đồng thế chấp tài sản”.</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Theo Biên bản giao nhận hồ sơ tài sản thế chấp, cầm cố, bảo lãnh, Biên bản định giá tài sản và trình bày của đại diện Vietcombank tại phiên tòa phúc thẩm thì ngày giao nhận hồ sơ và định giá tài sản là ngày 03-9-2007. Còn hợp đồng thế chấp giữa bà Phượng (cũng như giữa ông Duyên, bà Loan) với Vietcombank - Chi nhánh Thăng Long được ký vào ngày 25-6-2008 (sau ngày lập Biên bản giao nhận hồ sơ tài sản và Biên bản định giá tài sản) nên không thể coi các Biên bản này là một bộ phận không thể tách rời của Hợp đồng thế chấp nói trên. Tòa án cấp phúc thẩm cũng xác định: “Hợp đồng thế chấp ngày 25-6-2008... không liên quan đến các biên bản giao nhận hồ sơ…”.</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Theo ngày ghi trong biên bản và trình bày của đại diện Vietcombank tại phiên tòa phúc thẩm thì ngày giao hồ sơ (bản chính Giấy chứng nhận quyền sở hữu nhà ở và quyền sử dụng đất ở) và ngày định giá tài sản là ngày 03-9-2007, nhưng trong các Biên bản định giá tài sản này lại ghi: “Căn cứ Bảng giá đất tại các quận tại Hà Nội ban hành kèm theo Quyết định số 150/2007/QĐUBND ngày 28-12-2007 của Uỷ ban nhân dân thành phố Hà Nội” và Biên bản này là bộ phận không thể tách rời của Hợp đồng thế chấp số 1678.2008/HĐTC và số 1677.2008/HĐTC ngày 25-6-2008. Riêng đối với trường hợp của bà Phượng, giá trị quyền sử dụng đất ở được xác định theo Biên bản xác định giá đất thực tế ngày 04-9-2007 và Đơn yêu cầu đăng ký thế chấp của bà Phượng đề ngày 29-</w:t>
      </w:r>
      <w:r w:rsidRPr="00084B42">
        <w:rPr>
          <w:rFonts w:asciiTheme="majorHAnsi" w:hAnsiTheme="majorHAnsi" w:cstheme="majorHAnsi"/>
          <w:color w:val="000000" w:themeColor="text1"/>
        </w:rPr>
        <w:lastRenderedPageBreak/>
        <w:t>01-2008 ghi: “Hợp đồng thế chấp số 1678.2008/HĐTC ký ngày 25 tháng 6 năm 2008”. Mặt khác, theo trình bày và tài liệu do bà Phượng, vợ chồng ông Duyên, bà Loan xuất trình thì tại thời điểm ngày 03-9-2007 nhà, đất của bà Phượng đang được thế chấp tại Chi nhánh ngân hàng nông nghiệp và phát triển nông thôn Quảng An, quận Tây Hồ, đến ngày 11-01-2008 mới được giải chấp; còn nhà, đất của vợ, chồng ông Duyên, bà Loan đang được thế chấp tại Ngân hàng thương mại cổ phần ngoài quốc doanh Việt Nam - Chi nhánh Thăng Long, đến ngày 16-01-2008 mới được giải chấp.</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Với các chứng cứ nêu trên có căn cứ để kết luận: Biên bản giao nhận hồ sơ tài sản thế chấp, cầm cố, bảo lãnh và Biên bản định giá tài sản không phải được lập vào ngày 03-9-2007, Giấy chứng nhận quyền sở hữu nhà ở và quyền sử dụng đất ở không phải được giao vào ngày 03-9-2007, việc định giá không được thực hiện vào ngày 03-9-2007 như đại diện Vietcombank trình bày và được Tòa án cấp phúc thẩm chấp nhận.</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Tại thời điểm ngày 03-9-2007, thì Hợp đồng thế chấp, bảo lãnh tài sản bằng quyền sử dụng đất và tài sản gắn liền trên đất phải được công chứng và đăng ký giao dịch bảo đảm theo quy định tại </w:t>
      </w:r>
      <w:bookmarkStart w:id="7" w:name="dc_11"/>
      <w:r w:rsidRPr="00084B42">
        <w:rPr>
          <w:rFonts w:asciiTheme="majorHAnsi" w:hAnsiTheme="majorHAnsi" w:cstheme="majorHAnsi"/>
          <w:color w:val="000000" w:themeColor="text1"/>
        </w:rPr>
        <w:t>điểm a khoản 1 Điều 130 Luật Đất đai 2003</w:t>
      </w:r>
      <w:bookmarkEnd w:id="7"/>
      <w:r w:rsidRPr="00084B42">
        <w:rPr>
          <w:rFonts w:asciiTheme="majorHAnsi" w:hAnsiTheme="majorHAnsi" w:cstheme="majorHAnsi"/>
          <w:color w:val="000000" w:themeColor="text1"/>
        </w:rPr>
        <w:t>; tại </w:t>
      </w:r>
      <w:bookmarkStart w:id="8" w:name="dc_12"/>
      <w:r w:rsidRPr="00084B42">
        <w:rPr>
          <w:rFonts w:asciiTheme="majorHAnsi" w:hAnsiTheme="majorHAnsi" w:cstheme="majorHAnsi"/>
          <w:color w:val="000000" w:themeColor="text1"/>
        </w:rPr>
        <w:t>điểm a mục 1 Điều 12 Nghị định 163/NĐ-CP</w:t>
      </w:r>
      <w:bookmarkEnd w:id="8"/>
      <w:r w:rsidRPr="00084B42">
        <w:rPr>
          <w:rFonts w:asciiTheme="majorHAnsi" w:hAnsiTheme="majorHAnsi" w:cstheme="majorHAnsi"/>
          <w:color w:val="000000" w:themeColor="text1"/>
        </w:rPr>
        <w:t> ngày 29-12-2006 và tại </w:t>
      </w:r>
      <w:bookmarkStart w:id="9" w:name="dc_13"/>
      <w:r w:rsidRPr="00084B42">
        <w:rPr>
          <w:rFonts w:asciiTheme="majorHAnsi" w:hAnsiTheme="majorHAnsi" w:cstheme="majorHAnsi"/>
          <w:color w:val="000000" w:themeColor="text1"/>
        </w:rPr>
        <w:t>tiểu mục 2.4 mục 2 Thông tư liên tịch số 03/2006/TTLT-BTP-BTNMT</w:t>
      </w:r>
      <w:bookmarkEnd w:id="9"/>
      <w:r w:rsidRPr="00084B42">
        <w:rPr>
          <w:rFonts w:asciiTheme="majorHAnsi" w:hAnsiTheme="majorHAnsi" w:cstheme="majorHAnsi"/>
          <w:color w:val="000000" w:themeColor="text1"/>
        </w:rPr>
        <w:t> ngày 13-6-2006; chứ không phải công chứng và không phải đăng ký giao dịch bảo đảm như Tòa án cấp phúc thẩm nhận định.</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Tòa án cấp phúc thẩm chưa làm rõ ngoài các tài liệu nêu trên còn có tài liệu, chứng cứ nào khác để chỉ dẫn các hợp đồng thế chấp do bà Phượng và vợ chồng ông Duyên, bà Loan ký là được bảo lãnh cho 04 hợp đồng tín dụng của Công ty Kaoli hay không mà lại cho rằng các biên bản bàn giao hồ sơ là hợp đồng bảo lãnh là không đúng, không chính xác. Vì Biên bản này không thể là hợp đồng bảo lãnh, khi xét cả về mặt hình thức và nội dung văn bản.</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Nếu có căn cứ cho rằng các Hợp đồng thế chấp ngày 25-6-2008 của bà Phượng và của vợ chồng ông Duyên, bà Loan bảo lãnh cho các hợp đồng tín dụng nêu trên thì hợp đồng bảo lãnh của bà Phượng chỉ bảo đảm cho khoản vay và bảo lãnh cao nhất là 4.605.000.000 đồng; hợp đồng bảo lãnh của vợ chồng ông Duyên, bà Loan bảo đảm cho khoản vay và bảo lãnh cao nhất là 1.250.000.000 đồng. Trong khi đó, Tòa án cấp phúc thẩm nhận định các Biên bản giao nhận hồ sơ tài sản thế chấp, cầm cố, bảo lãnh lập ngày 03-9-2007 là hợp đồng bảo lãnh và tuyên: “Trong trường hợp Công ty Cổ phần Dược phẩm Kaoli không thực hiện nghĩa vụ hoặc thực hiện nghĩa vụ trả nợ không đầy đủ cho Ngân hàng Thương mại Cổ phần Ngoại thương Việt Nam, thì Ngân hàng Thương mại Cổ phần Ngoại thương Việt Nam có quyền yêu cầu Cục thi hành án dân sự thành phố Hà Nội xử lý tài sản bảo lãnh theo quy định của Luật thi hành án dân sự để thu hồi nợ theo trách nhiệm bảo lãnh của người bảo lãnh” có nghĩa là bà Phượng, ông Duyên, bà Loan phải chịu trách nhiệm bảo lãnh cho toàn bộ số nợ của Công ty Kaoli và không phân định rõ trách nhiệm bảo lãnh của bà Phượng, ông Duyên và bà Loan cũng là không đúng.</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 xml:space="preserve">Ngoài ra, Tòa án cấp sơ thẩm và Tòa án cấp phúc thẩm quyết định: “Kể từ ngày bản án có hiệu lực pháp luật và người được thi hành án có đơn yêu cầu thi hành án, người phải thi hành án còn phải trả lãi đối với số tiền chậm thi hành án theo lãi suất cơ bản do Ngân hàng Nhà nước công bố tương ứng với thời gian chậm thi hành án” cũng là không đúng. Đối với các khoản tiền vay của tổ chức Ngân hàng, tín dụng, ngoài khoản tiền nợ gốc, lãi vay trong hạn, lãi vay quá hạn, phí mà khách hàng vay phải thanh toán cho bên cho vay theo hợp đồng tín dụng tính đến ngày xét xử sơ thẩm, thì kể từ ngày tiếp theo của ngày xét xử sơ thẩm khách hàng vay còn phải tiếp tục chịu khoản tiền lãi quá hạn của số tiền nợ gốc chưa thanh toán, theo mức lãi suất mà các bên thỏa thuận trong hợp </w:t>
      </w:r>
      <w:r w:rsidRPr="00084B42">
        <w:rPr>
          <w:rFonts w:asciiTheme="majorHAnsi" w:hAnsiTheme="majorHAnsi" w:cstheme="majorHAnsi"/>
          <w:color w:val="000000" w:themeColor="text1"/>
        </w:rPr>
        <w:lastRenderedPageBreak/>
        <w:t>đồng cho đến khi thanh toán xong khoản nợ gốc này. Trường hợp trong hợp đồng tín dụng, các bên có thỏa thuận về việc điều chỉnh lãi suất cho vay theo từng thời kỳ của Ngân hàng cho vay thì lãi suất mà khách hàng vay phải tiếp tục thanh toán cho Ngân hàng cho vay theo quyết định của Tòa án cũng sẽ được điều chỉnh cho phù hợp với sự điều chỉnh lãi suất của Ngân hàng cho vay.</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Bởi các lẽ trên, căn cứ vào </w:t>
      </w:r>
      <w:bookmarkStart w:id="10" w:name="dc_14"/>
      <w:r w:rsidRPr="00084B42">
        <w:rPr>
          <w:rFonts w:asciiTheme="majorHAnsi" w:hAnsiTheme="majorHAnsi" w:cstheme="majorHAnsi"/>
          <w:color w:val="000000" w:themeColor="text1"/>
        </w:rPr>
        <w:t>khoản 3 Điều 291, khoản 3 Điều 297, Điều 299 của Bộ luật tố tụng dân sự</w:t>
      </w:r>
      <w:bookmarkEnd w:id="10"/>
      <w:r w:rsidRPr="00084B42">
        <w:rPr>
          <w:rFonts w:asciiTheme="majorHAnsi" w:hAnsiTheme="majorHAnsi" w:cstheme="majorHAnsi"/>
          <w:color w:val="000000" w:themeColor="text1"/>
        </w:rPr>
        <w:t> (đã được sửa đổi, bổ sung năm 2011),</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b/>
          <w:bCs/>
          <w:color w:val="000000" w:themeColor="text1"/>
        </w:rPr>
        <w:t>QUYẾT ĐỊNH:</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1. Hủy Bản án kinh doanh, thương mại phúc thẩm số 148/2011/KDTM-PT ngày 17-8-2011 của Tòa phúc thẩm Tòa án nhân dân tối cao tại Hà Nội xét xử vụ án kinh doanh, thương mại tranh chấp hợp đồng tín dụng giữa nguyên đơn là Ngân hàng Thương mại Cổ phần Ngoại thương Việt Nam với bị đơn là Công ty cổ phần dược phẩm Kaoli và người có quyền lợi, nghĩa vụ liên quan là bà Nguyễn Thị Phượng, ông Nguyễn Đăng Duyên, bà Đỗ Thị Loan.</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color w:val="000000" w:themeColor="text1"/>
        </w:rPr>
        <w:t>2. Giao hồ sơ vụ án cho Tòa phúc thẩm Tòa án nhân dân tối cao tại Hà Nội xét xử phúc thẩm lại theo đúng quy định của pháp luật.</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b/>
          <w:bCs/>
          <w:color w:val="000000" w:themeColor="text1"/>
        </w:rPr>
        <w:t>NỘI DUNG ÁN LỆ</w:t>
      </w:r>
    </w:p>
    <w:p w:rsidR="00084B42" w:rsidRPr="00084B42" w:rsidRDefault="00084B42" w:rsidP="00084B4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084B42">
        <w:rPr>
          <w:rFonts w:asciiTheme="majorHAnsi" w:hAnsiTheme="majorHAnsi" w:cstheme="majorHAnsi"/>
          <w:i/>
          <w:iCs/>
          <w:color w:val="000000" w:themeColor="text1"/>
        </w:rPr>
        <w:t>“Tòa án cấp sơ thẩm và Tòa án cấp phúc thẩm quyết định: “Kể từ ngày bản án có hiệu lực pháp luật và người được thi hành án có đơn yêu cầu thi hành án, người phải thi hành án còn phải trả lãi đối với số tiền chậm thi hành án theo lãi suất cơ bản do Ngân hàng Nhà nước công bố tương ứng với thời gian chậm thi hành án” cũng là không đúng. Đối với các khoản tiền vay của tổ chức Ngân hàng, tín dụng, ngoài khoản tiền nợ gốc, lãi vay trong hạn, lãi vay quá hạn, phí mà khách hàng vay phải thanh toán cho bên cho vay theo hợp đồng tín dụng tính đến ngày xét xử sơ thẩm, thì kể từ ngày tiếp theo của ngày xét xử sơ thẩm khách hàng vay còn phải tiếp tục chịu khoản tiền lãi quá hạn của số tiền nợ gốc chưa thanh toán, theo mức lãi suất mà các bên thỏa thuận trong hợp đồng cho đến khi thanh toán xong khoản nợ gốc này. Trường hợp trong hợp đồng tín dụng, các bên có thỏa thuận về việc điều chỉnh lãi suất cho vay theo từng thời kỳ của Ngân hàng cho vay thì lãi suất mà khách hàng vay phải tiếp tục thanh toán cho Ngân hàng cho vay theo quyết định của Tòa án cũng sẽ được điều chỉnh cho phù hợp với sự điều chỉnh lãi suất của Ngân hàng cho vay”.</w:t>
      </w:r>
    </w:p>
    <w:p w:rsidR="005B04D8" w:rsidRPr="00084B42" w:rsidRDefault="005B04D8" w:rsidP="00084B42">
      <w:pPr>
        <w:jc w:val="both"/>
        <w:rPr>
          <w:rFonts w:asciiTheme="majorHAnsi" w:hAnsiTheme="majorHAnsi" w:cstheme="majorHAnsi"/>
          <w:color w:val="000000" w:themeColor="text1"/>
          <w:sz w:val="24"/>
          <w:szCs w:val="24"/>
        </w:rPr>
      </w:pPr>
    </w:p>
    <w:sectPr w:rsidR="005B04D8" w:rsidRPr="00084B42" w:rsidSect="00F444A4">
      <w:headerReference w:type="default" r:id="rId5"/>
      <w:footerReference w:type="default" r:id="rId6"/>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084B42">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1</w:t>
        </w:r>
        <w:r w:rsidRPr="00CF5C4B">
          <w:rPr>
            <w:rFonts w:asciiTheme="majorHAnsi" w:hAnsiTheme="majorHAnsi" w:cstheme="majorHAnsi"/>
            <w:b/>
            <w:noProof/>
            <w:sz w:val="20"/>
            <w:szCs w:val="20"/>
          </w:rPr>
          <w:fldChar w:fldCharType="end"/>
        </w:r>
      </w:p>
    </w:sdtContent>
  </w:sdt>
  <w:p w:rsidR="00CF5C4B" w:rsidRDefault="00084B4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084B42" w:rsidP="00CF5C4B">
          <w:pPr>
            <w:rPr>
              <w:sz w:val="20"/>
              <w:szCs w:val="20"/>
            </w:rPr>
          </w:pPr>
          <w:r>
            <w:rPr>
              <w:noProof/>
              <w:sz w:val="20"/>
              <w:szCs w:val="20"/>
              <w:lang w:eastAsia="vi-VN"/>
            </w:rPr>
            <w:drawing>
              <wp:inline distT="0" distB="0" distL="0" distR="0" wp14:anchorId="086D218B" wp14:editId="5DAC88CB">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084B42"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084B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42"/>
    <w:rsid w:val="00084B42"/>
    <w:rsid w:val="005B04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9298B-4FEA-4C08-AA17-13BA752E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B42"/>
  </w:style>
  <w:style w:type="paragraph" w:styleId="Footer">
    <w:name w:val="footer"/>
    <w:basedOn w:val="Normal"/>
    <w:link w:val="FooterChar"/>
    <w:uiPriority w:val="99"/>
    <w:unhideWhenUsed/>
    <w:rsid w:val="00084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B42"/>
  </w:style>
  <w:style w:type="paragraph" w:styleId="NormalWeb">
    <w:name w:val="Normal (Web)"/>
    <w:basedOn w:val="Normal"/>
    <w:uiPriority w:val="99"/>
    <w:semiHidden/>
    <w:unhideWhenUsed/>
    <w:rsid w:val="00084B4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084B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82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thukyluat.vn/vb/quyet-dinh-127-2005-qd-nhnn-quy-che-cho-vay-to-chuc-tin-dung-khach-hang-sua-doi-quyet-dinh-1627-2001-qd-nhnn-ce5f.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3872</Words>
  <Characters>22073</Characters>
  <Application>Microsoft Office Word</Application>
  <DocSecurity>0</DocSecurity>
  <Lines>183</Lines>
  <Paragraphs>51</Paragraphs>
  <ScaleCrop>false</ScaleCrop>
  <Company>Microsoft</Company>
  <LinksUpToDate>false</LinksUpToDate>
  <CharactersWithSpaces>25894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2020-03-21T10:45:00Z</dcterms:created>
  <dcterms:modified xsi:type="dcterms:W3CDTF">2020-03-21T10:49:00Z</dcterms:modified>
</cp:coreProperties>
</file>